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2C" w:rsidRDefault="0010438E" w:rsidP="00B112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PT Astra Serif" w:hAnsi="PT Astra Serif" w:cs="Arial"/>
          <w:color w:val="252525"/>
          <w:sz w:val="28"/>
          <w:szCs w:val="28"/>
        </w:rPr>
      </w:pPr>
      <w:r w:rsidRPr="0010438E">
        <w:rPr>
          <w:rStyle w:val="a4"/>
          <w:rFonts w:ascii="PT Astra Serif" w:hAnsi="PT Astra Serif" w:cs="Arial"/>
          <w:color w:val="252525"/>
          <w:sz w:val="28"/>
          <w:szCs w:val="28"/>
        </w:rPr>
        <w:t>Доклад</w:t>
      </w:r>
    </w:p>
    <w:p w:rsidR="00B1122C" w:rsidRDefault="0010438E" w:rsidP="00B112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Style w:val="a4"/>
          <w:rFonts w:ascii="PT Astra Serif" w:hAnsi="PT Astra Serif" w:cs="Arial"/>
          <w:color w:val="252525"/>
          <w:sz w:val="28"/>
          <w:szCs w:val="28"/>
        </w:rPr>
        <w:t xml:space="preserve"> о результатах обобщения правоприменительной практики при осуществлении муниципального жилищного контроля в Духовницком муниципальном районе </w:t>
      </w:r>
      <w:r w:rsidR="003C2683">
        <w:rPr>
          <w:rStyle w:val="a4"/>
          <w:rFonts w:ascii="PT Astra Serif" w:hAnsi="PT Astra Serif" w:cs="Arial"/>
          <w:color w:val="252525"/>
          <w:sz w:val="28"/>
          <w:szCs w:val="28"/>
        </w:rPr>
        <w:t xml:space="preserve">Саратовской области </w:t>
      </w:r>
      <w:r w:rsidRPr="0010438E">
        <w:rPr>
          <w:rStyle w:val="a4"/>
          <w:rFonts w:ascii="PT Astra Serif" w:hAnsi="PT Astra Serif" w:cs="Arial"/>
          <w:color w:val="252525"/>
          <w:sz w:val="28"/>
          <w:szCs w:val="28"/>
        </w:rPr>
        <w:t>за 2025 год</w:t>
      </w:r>
    </w:p>
    <w:p w:rsidR="00B1122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</w:p>
    <w:p w:rsidR="00403EDC" w:rsidRDefault="0010438E" w:rsidP="00B112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Муниципальный жилищный контроль в </w:t>
      </w:r>
      <w:r w:rsidRPr="0010438E">
        <w:rPr>
          <w:rStyle w:val="a4"/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Духовницком муниципальном районе Саратовской области</w:t>
      </w:r>
      <w:r>
        <w:rPr>
          <w:rStyle w:val="a4"/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 2025 году (далее – муниципальный жилищный контроль) осуществляется  специалистами администрации Духовницкого муниципального района</w:t>
      </w:r>
      <w:r w:rsidR="00306D82">
        <w:rPr>
          <w:rFonts w:ascii="PT Astra Serif" w:hAnsi="PT Astra Serif" w:cs="Arial"/>
          <w:color w:val="252525"/>
          <w:sz w:val="28"/>
          <w:szCs w:val="28"/>
        </w:rPr>
        <w:t>, далее к</w:t>
      </w:r>
      <w:r w:rsidR="00306D82" w:rsidRPr="0010438E">
        <w:rPr>
          <w:rFonts w:ascii="PT Astra Serif" w:hAnsi="PT Astra Serif" w:cs="Arial"/>
          <w:color w:val="252525"/>
          <w:sz w:val="28"/>
          <w:szCs w:val="28"/>
        </w:rPr>
        <w:t>онтрольн</w:t>
      </w:r>
      <w:r w:rsidR="00306D82">
        <w:rPr>
          <w:rFonts w:ascii="PT Astra Serif" w:hAnsi="PT Astra Serif" w:cs="Arial"/>
          <w:color w:val="252525"/>
          <w:sz w:val="28"/>
          <w:szCs w:val="28"/>
        </w:rPr>
        <w:t>ый</w:t>
      </w:r>
      <w:r w:rsidR="00306D82" w:rsidRPr="0010438E">
        <w:rPr>
          <w:rFonts w:ascii="PT Astra Serif" w:hAnsi="PT Astra Serif" w:cs="Arial"/>
          <w:color w:val="252525"/>
          <w:sz w:val="28"/>
          <w:szCs w:val="28"/>
        </w:rPr>
        <w:t xml:space="preserve"> орган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.</w:t>
      </w:r>
    </w:p>
    <w:p w:rsidR="00403EDC" w:rsidRDefault="0010438E" w:rsidP="00B112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Доклад о результатах обобщения правоприменительной практики при осуществлении муниципального жилищного контроля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03EDC" w:rsidRDefault="0010438E" w:rsidP="00B112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Обобщение правоприменительной практики при осуществлении муниципального жилищного контроля проводилось для решения следующих задач: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1)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4) подготовка предложений об актуализации обязательных требований;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 муниципальном контроле.</w:t>
      </w:r>
    </w:p>
    <w:p w:rsidR="00403EDC" w:rsidRDefault="0010438E" w:rsidP="00B1122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Осуществление муниципального жилищного контроля регламентировано: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 w:rsidR="00B1122C">
        <w:rPr>
          <w:rFonts w:ascii="PT Astra Serif" w:hAnsi="PT Astra Serif" w:cs="Arial"/>
          <w:color w:val="252525"/>
          <w:sz w:val="28"/>
          <w:szCs w:val="28"/>
        </w:rPr>
        <w:t xml:space="preserve">-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Жилищным Кодексом Российской Федерации;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-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№131-ФЗ);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-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-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-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Положением о муниципальном жилищном контроле  на территории Духовницкого муниципального района Саратовской области, утвержденным решением районного Собрания Духовницкого муниципального </w:t>
      </w:r>
      <w:r w:rsidR="0010438E">
        <w:rPr>
          <w:rFonts w:ascii="PT Astra Serif" w:hAnsi="PT Astra Serif" w:cs="Arial"/>
          <w:color w:val="252525"/>
          <w:sz w:val="28"/>
          <w:szCs w:val="28"/>
        </w:rPr>
        <w:t>р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айона Саратовской области  от 27.11.2025 г. №40/228 (далее – Положение).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lastRenderedPageBreak/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proofErr w:type="gramStart"/>
      <w:r w:rsidRPr="0010438E">
        <w:rPr>
          <w:rFonts w:ascii="PT Astra Serif" w:hAnsi="PT Astra Serif" w:cs="Arial"/>
          <w:color w:val="252525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требований к формированию фондов капитального ремонта;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proofErr w:type="gramStart"/>
      <w:r w:rsidRPr="0010438E">
        <w:rPr>
          <w:rFonts w:ascii="PT Astra Serif" w:hAnsi="PT Astra Serif" w:cs="Arial"/>
          <w:color w:val="252525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  <w:proofErr w:type="gramEnd"/>
      <w:r w:rsidRPr="0010438E">
        <w:rPr>
          <w:rFonts w:ascii="PT Astra Serif" w:hAnsi="PT Astra Serif" w:cs="Arial"/>
          <w:color w:val="252525"/>
          <w:sz w:val="28"/>
          <w:szCs w:val="28"/>
        </w:rPr>
        <w:br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9) требований к порядку размещения </w:t>
      </w:r>
      <w:proofErr w:type="spellStart"/>
      <w:r w:rsidRPr="0010438E">
        <w:rPr>
          <w:rFonts w:ascii="PT Astra Serif" w:hAnsi="PT Astra Serif" w:cs="Arial"/>
          <w:color w:val="252525"/>
          <w:sz w:val="28"/>
          <w:szCs w:val="28"/>
        </w:rPr>
        <w:t>ресурсоснабжающими</w:t>
      </w:r>
      <w:proofErr w:type="spellEnd"/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Объектами муниципального жилищного контроля в  </w:t>
      </w:r>
      <w:r w:rsidR="0010438E" w:rsidRPr="0010438E">
        <w:rPr>
          <w:rStyle w:val="a4"/>
          <w:rFonts w:ascii="PT Astra Serif" w:hAnsi="PT Astra Serif" w:cs="Arial"/>
          <w:color w:val="252525"/>
          <w:sz w:val="28"/>
          <w:szCs w:val="28"/>
        </w:rPr>
        <w:t xml:space="preserve"> </w:t>
      </w:r>
      <w:r w:rsidR="0010438E" w:rsidRPr="0010438E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Духовницком муниципальном районе Саратовской области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являются: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  <w:t xml:space="preserve">1) деятельность, действия (бездействие) контролируемых лиц, в рамках которых должны соблюдаться обязательные требования, в том числе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предъявляемые к контролируемым лицам, осуществляющим деятельность, действия (бездействие), указанные в Положении;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Положении;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Положении.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 w:rsidR="00B1122C"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proofErr w:type="gramStart"/>
      <w:r w:rsidRPr="0010438E">
        <w:rPr>
          <w:rFonts w:ascii="PT Astra Serif" w:hAnsi="PT Astra Serif" w:cs="Arial"/>
          <w:color w:val="252525"/>
          <w:sz w:val="28"/>
          <w:szCs w:val="28"/>
        </w:rPr>
        <w:t>Контрольным органом в рамках осуществления муниципального жилищного контроля обеспечивается учет объектов муниципального жилищного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  <w:proofErr w:type="gramEnd"/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Муниципальный жилищный контроль осуществляется без проведения плановых контрольных мероприятий.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Внеплановые контрольные мероприятия проводятся с учетом особенностей, установленных статьей 66 Федерального закона № 248-ФЗ.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контрольные мероприятия в рамках муниципального жилищного контроля</w:t>
      </w:r>
      <w:r w:rsidR="00306D82" w:rsidRPr="00306D82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="00306D82" w:rsidRPr="0010438E">
        <w:rPr>
          <w:rFonts w:ascii="PT Astra Serif" w:hAnsi="PT Astra Serif" w:cs="Arial"/>
          <w:color w:val="252525"/>
          <w:sz w:val="28"/>
          <w:szCs w:val="28"/>
        </w:rPr>
        <w:t>в 2025 году не проводились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  <w:t>План проверок на 2025 год по муниципальному жилищному контролю не утверждался.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Внеплановые проверки в 2025 году не проводились, в связи с отсутствием оснований.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На официальном сайте </w:t>
      </w:r>
      <w:r w:rsidR="003C2683">
        <w:rPr>
          <w:rFonts w:ascii="PT Astra Serif" w:hAnsi="PT Astra Serif" w:cs="Arial"/>
          <w:color w:val="252525"/>
          <w:sz w:val="28"/>
          <w:szCs w:val="28"/>
        </w:rPr>
        <w:t>а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дминистрации </w:t>
      </w:r>
      <w:r w:rsidR="003C2683" w:rsidRPr="0010438E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Духовницко</w:t>
      </w:r>
      <w:r w:rsidR="003C2683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 xml:space="preserve">го </w:t>
      </w:r>
      <w:r w:rsidR="003C2683" w:rsidRPr="0010438E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муниципально</w:t>
      </w:r>
      <w:r w:rsidR="003C2683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го</w:t>
      </w:r>
      <w:r w:rsidR="003C2683" w:rsidRPr="0010438E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 xml:space="preserve"> район</w:t>
      </w:r>
      <w:r w:rsidR="003C2683">
        <w:rPr>
          <w:rStyle w:val="a4"/>
          <w:rFonts w:ascii="PT Astra Serif" w:hAnsi="PT Astra Serif" w:cs="Arial"/>
          <w:b w:val="0"/>
          <w:color w:val="252525"/>
          <w:sz w:val="28"/>
          <w:szCs w:val="28"/>
        </w:rPr>
        <w:t>а</w:t>
      </w:r>
      <w:r w:rsidR="003C2683" w:rsidRPr="0010438E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 сети «Интернет» размещена информация о перечне и текстах нормативных правовых актов, регулирующих осуществление муниципального жилищного контроля.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 соответствии с Федеральным законом № 248-ФЗ при осуществлении государственного контроля (надзора) 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Виды профилактических мероприятий, которые проводятся при осуществлении государственного контроля (надзора), муниципального контроля определяются положением о виде контроля.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 соответствии с Положением, при осуществлении муниципального жилищного контроля проводятся следующие виды профилактических мероприятий: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  <w:t>1) информирование;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2) обобщение правоприменительной практики;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объявление предостережения;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4) консультирование;</w:t>
      </w:r>
    </w:p>
    <w:p w:rsidR="00403EDC" w:rsidRDefault="0010438E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5) профилактический визит.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а также поступивших обращений.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По итогам обобщения правоприменительной практики готовится проект доклада, содержащий результаты обобщения правоприменительной практики по осуществлению муниципального жилищного контроля, а также подготавливает предложения по результатам обобщения </w:t>
      </w:r>
      <w:r w:rsidR="00306D82">
        <w:rPr>
          <w:rFonts w:ascii="PT Astra Serif" w:hAnsi="PT Astra Serif" w:cs="Arial"/>
          <w:color w:val="252525"/>
          <w:sz w:val="28"/>
          <w:szCs w:val="28"/>
        </w:rPr>
        <w:t>пр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авоприменительной практики.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</w:t>
      </w:r>
      <w:r w:rsidR="00306D82">
        <w:rPr>
          <w:rFonts w:ascii="PT Astra Serif" w:hAnsi="PT Astra Serif" w:cs="Arial"/>
          <w:color w:val="252525"/>
          <w:sz w:val="28"/>
          <w:szCs w:val="28"/>
        </w:rPr>
        <w:t>администрации Духовницкого муниципального района,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осуществляющим муниципальный контроль, из информационных материалов, размещенных на информационных стендах</w:t>
      </w:r>
      <w:r w:rsidR="00306D82">
        <w:rPr>
          <w:rFonts w:ascii="PT Astra Serif" w:hAnsi="PT Astra Serif" w:cs="Arial"/>
          <w:color w:val="252525"/>
          <w:sz w:val="28"/>
          <w:szCs w:val="28"/>
        </w:rPr>
        <w:t>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</w:t>
      </w:r>
      <w:proofErr w:type="gramStart"/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="00306D82">
        <w:rPr>
          <w:rFonts w:ascii="PT Astra Serif" w:hAnsi="PT Astra Serif" w:cs="Arial"/>
          <w:color w:val="252525"/>
          <w:sz w:val="28"/>
          <w:szCs w:val="28"/>
        </w:rPr>
        <w:t>администрации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  <w:r w:rsidR="003C2683">
        <w:rPr>
          <w:rFonts w:ascii="PT Astra Serif" w:hAnsi="PT Astra Serif" w:cs="Arial"/>
          <w:color w:val="252525"/>
          <w:sz w:val="28"/>
          <w:szCs w:val="28"/>
        </w:rPr>
        <w:t>В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озражение в отношении предостережения </w:t>
      </w:r>
      <w:r w:rsidR="003C2683" w:rsidRPr="0010438E">
        <w:rPr>
          <w:rFonts w:ascii="PT Astra Serif" w:hAnsi="PT Astra Serif" w:cs="Arial"/>
          <w:color w:val="252525"/>
          <w:sz w:val="28"/>
          <w:szCs w:val="28"/>
        </w:rPr>
        <w:t>рассматривает</w:t>
      </w:r>
      <w:r w:rsidR="003C2683">
        <w:rPr>
          <w:rFonts w:ascii="PT Astra Serif" w:hAnsi="PT Astra Serif" w:cs="Arial"/>
          <w:color w:val="252525"/>
          <w:sz w:val="28"/>
          <w:szCs w:val="28"/>
        </w:rPr>
        <w:t>ся</w:t>
      </w:r>
      <w:r w:rsidR="003C2683" w:rsidRPr="0010438E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в течение пятнадцати рабочих дней со дня его </w:t>
      </w:r>
      <w:proofErr w:type="gramStart"/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получения</w:t>
      </w:r>
      <w:proofErr w:type="gramEnd"/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и контролируемое лицо </w:t>
      </w:r>
      <w:r w:rsidR="003C2683" w:rsidRPr="0010438E">
        <w:rPr>
          <w:rFonts w:ascii="PT Astra Serif" w:hAnsi="PT Astra Serif" w:cs="Arial"/>
          <w:color w:val="252525"/>
          <w:sz w:val="28"/>
          <w:szCs w:val="28"/>
        </w:rPr>
        <w:t>информирует</w:t>
      </w:r>
      <w:r w:rsidR="003C2683">
        <w:rPr>
          <w:rFonts w:ascii="PT Astra Serif" w:hAnsi="PT Astra Serif" w:cs="Arial"/>
          <w:color w:val="252525"/>
          <w:sz w:val="28"/>
          <w:szCs w:val="28"/>
        </w:rPr>
        <w:t>ся</w:t>
      </w:r>
      <w:r w:rsidR="003C2683" w:rsidRPr="0010438E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о результатах его рассмотрения.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Консультирование контролируемых лиц осуществляется должностными лицами </w:t>
      </w:r>
      <w:r w:rsidR="003C2683">
        <w:rPr>
          <w:rFonts w:ascii="PT Astra Serif" w:hAnsi="PT Astra Serif" w:cs="Arial"/>
          <w:color w:val="252525"/>
          <w:sz w:val="28"/>
          <w:szCs w:val="28"/>
        </w:rPr>
        <w:t>админист</w:t>
      </w:r>
      <w:r w:rsidR="00306D82">
        <w:rPr>
          <w:rFonts w:ascii="PT Astra Serif" w:hAnsi="PT Astra Serif" w:cs="Arial"/>
          <w:color w:val="252525"/>
          <w:sz w:val="28"/>
          <w:szCs w:val="28"/>
        </w:rPr>
        <w:t>р</w:t>
      </w:r>
      <w:r w:rsidR="003C2683">
        <w:rPr>
          <w:rFonts w:ascii="PT Astra Serif" w:hAnsi="PT Astra Serif" w:cs="Arial"/>
          <w:color w:val="252525"/>
          <w:sz w:val="28"/>
          <w:szCs w:val="28"/>
        </w:rPr>
        <w:t>ации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lastRenderedPageBreak/>
        <w:t xml:space="preserve"> 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Деятельность муниципального жилищного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В 2025 году в рамках осуществления муниципального жилищного было проведено следующее профилактическое мероприятие: обобщение правоприменительной практики.</w:t>
      </w:r>
    </w:p>
    <w:p w:rsidR="00403EDC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При осуществлении муниципального жилищного контроля предусмотрено обжалование решений </w:t>
      </w:r>
      <w:r w:rsidR="00403EDC">
        <w:rPr>
          <w:rFonts w:ascii="PT Astra Serif" w:hAnsi="PT Astra Serif" w:cs="Arial"/>
          <w:color w:val="252525"/>
          <w:sz w:val="28"/>
          <w:szCs w:val="28"/>
        </w:rPr>
        <w:t>к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онтрольного органа, действий (бездействия) его должностных лиц в судебном порядке, досудебный порядок подачи жалоб также применяется.</w:t>
      </w:r>
    </w:p>
    <w:p w:rsidR="0010438E" w:rsidRPr="0010438E" w:rsidRDefault="00B1122C" w:rsidP="00403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</w:t>
      </w:r>
      <w:bookmarkStart w:id="0" w:name="_GoBack"/>
      <w:bookmarkEnd w:id="0"/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 xml:space="preserve">В течение отчетного периода жалоб на решения </w:t>
      </w:r>
      <w:r w:rsidR="00403EDC">
        <w:rPr>
          <w:rFonts w:ascii="PT Astra Serif" w:hAnsi="PT Astra Serif" w:cs="Arial"/>
          <w:color w:val="252525"/>
          <w:sz w:val="28"/>
          <w:szCs w:val="28"/>
        </w:rPr>
        <w:t>к</w:t>
      </w:r>
      <w:r w:rsidR="0010438E" w:rsidRPr="0010438E">
        <w:rPr>
          <w:rFonts w:ascii="PT Astra Serif" w:hAnsi="PT Astra Serif" w:cs="Arial"/>
          <w:color w:val="252525"/>
          <w:sz w:val="28"/>
          <w:szCs w:val="28"/>
        </w:rPr>
        <w:t>онтрольного органа, а также на действия его должностных лиц не поступало.</w:t>
      </w:r>
    </w:p>
    <w:p w:rsidR="00A30F6D" w:rsidRPr="0010438E" w:rsidRDefault="00B1122C" w:rsidP="00403ED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A30F6D" w:rsidRPr="0010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8E"/>
    <w:rsid w:val="0010438E"/>
    <w:rsid w:val="00306D82"/>
    <w:rsid w:val="003C2683"/>
    <w:rsid w:val="00403EDC"/>
    <w:rsid w:val="004E725F"/>
    <w:rsid w:val="00A1538D"/>
    <w:rsid w:val="00B1122C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3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dcterms:created xsi:type="dcterms:W3CDTF">2026-02-24T11:25:00Z</dcterms:created>
  <dcterms:modified xsi:type="dcterms:W3CDTF">2026-03-13T10:12:00Z</dcterms:modified>
</cp:coreProperties>
</file>